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D5C" w:rsidRDefault="00E86D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276"/>
        <w:gridCol w:w="1134"/>
        <w:gridCol w:w="1275"/>
        <w:gridCol w:w="1560"/>
        <w:gridCol w:w="1417"/>
        <w:gridCol w:w="1559"/>
        <w:gridCol w:w="1418"/>
        <w:gridCol w:w="3118"/>
        <w:gridCol w:w="1276"/>
      </w:tblGrid>
      <w:tr w:rsidR="00E86D5C" w:rsidRPr="009C70DD" w:rsidTr="00E86D5C">
        <w:trPr>
          <w:trHeight w:val="396"/>
          <w:tblHeader/>
        </w:trPr>
        <w:tc>
          <w:tcPr>
            <w:tcW w:w="15559" w:type="dxa"/>
            <w:gridSpan w:val="10"/>
            <w:tcBorders>
              <w:top w:val="single" w:sz="12" w:space="0" w:color="000000"/>
              <w:bottom w:val="single" w:sz="4" w:space="0" w:color="auto"/>
              <w:right w:val="single" w:sz="12" w:space="0" w:color="auto"/>
            </w:tcBorders>
            <w:shd w:val="pct5" w:color="F2F2F2" w:fill="F2F2F2"/>
          </w:tcPr>
          <w:p w:rsidR="00E86D5C" w:rsidRPr="00607F1B" w:rsidRDefault="00607F1B" w:rsidP="00E86D5C">
            <w:pPr>
              <w:jc w:val="center"/>
              <w:rPr>
                <w:rFonts w:eastAsia="標楷體"/>
                <w:b/>
                <w:bCs/>
                <w:color w:val="000000"/>
                <w:sz w:val="22"/>
              </w:rPr>
            </w:pPr>
            <w:r w:rsidRPr="00607F1B">
              <w:rPr>
                <w:rFonts w:ascii="標楷體" w:eastAsia="標楷體" w:hAnsi="標楷體" w:hint="eastAsia"/>
                <w:b/>
                <w:sz w:val="28"/>
                <w:szCs w:val="24"/>
              </w:rPr>
              <w:t>C級第二類學校</w:t>
            </w:r>
            <w:r w:rsidRPr="00607F1B">
              <w:rPr>
                <w:rFonts w:eastAsia="標楷體" w:hint="eastAsia"/>
                <w:b/>
                <w:sz w:val="28"/>
                <w:szCs w:val="24"/>
              </w:rPr>
              <w:t>資訊安全管理及防護具體作法</w:t>
            </w:r>
          </w:p>
        </w:tc>
      </w:tr>
      <w:tr w:rsidR="00A967B5" w:rsidRPr="009C70DD" w:rsidTr="00A967B5">
        <w:trPr>
          <w:trHeight w:val="969"/>
          <w:tblHeader/>
        </w:trPr>
        <w:tc>
          <w:tcPr>
            <w:tcW w:w="1526" w:type="dxa"/>
            <w:tcBorders>
              <w:top w:val="single" w:sz="12" w:space="0" w:color="000000"/>
              <w:bottom w:val="single" w:sz="4" w:space="0" w:color="auto"/>
            </w:tcBorders>
            <w:shd w:val="pct5" w:color="F2F2F2" w:fill="F2F2F2"/>
          </w:tcPr>
          <w:p w:rsidR="00E86D5C" w:rsidRPr="00E86D5C" w:rsidRDefault="00E86D5C" w:rsidP="00402F63">
            <w:pPr>
              <w:widowControl/>
              <w:spacing w:line="440" w:lineRule="exact"/>
              <w:rPr>
                <w:rFonts w:ascii="標楷體" w:eastAsia="標楷體" w:hAnsi="標楷體"/>
                <w:bCs/>
                <w:color w:val="000000"/>
                <w:szCs w:val="24"/>
              </w:rPr>
            </w:pPr>
            <w:r w:rsidRPr="00E86D5C">
              <w:rPr>
                <w:rFonts w:ascii="標楷體" w:eastAsia="標楷體" w:hAnsi="標楷體" w:hint="eastAsia"/>
                <w:bCs/>
                <w:color w:val="000000"/>
                <w:szCs w:val="24"/>
              </w:rPr>
              <w:t>資訊系統分類分級</w:t>
            </w:r>
          </w:p>
        </w:tc>
        <w:tc>
          <w:tcPr>
            <w:tcW w:w="1276" w:type="dxa"/>
            <w:tcBorders>
              <w:top w:val="single" w:sz="12" w:space="0" w:color="000000"/>
              <w:bottom w:val="single" w:sz="4" w:space="0" w:color="auto"/>
            </w:tcBorders>
            <w:shd w:val="pct5" w:color="F2F2F2" w:fill="F2F2F2"/>
          </w:tcPr>
          <w:p w:rsidR="00E86D5C" w:rsidRPr="00E86D5C" w:rsidRDefault="00E86D5C" w:rsidP="00402F63">
            <w:pPr>
              <w:widowControl/>
              <w:spacing w:line="440" w:lineRule="exact"/>
              <w:rPr>
                <w:rFonts w:ascii="標楷體" w:eastAsia="標楷體" w:hAnsi="標楷體"/>
                <w:bCs/>
                <w:color w:val="000000"/>
                <w:szCs w:val="24"/>
              </w:rPr>
            </w:pPr>
            <w:r w:rsidRPr="00E86D5C">
              <w:rPr>
                <w:rFonts w:ascii="標楷體" w:eastAsia="標楷體" w:hAnsi="標楷體" w:hint="eastAsia"/>
                <w:bCs/>
                <w:color w:val="000000"/>
                <w:szCs w:val="24"/>
              </w:rPr>
              <w:t>ISMS推動作業</w:t>
            </w:r>
          </w:p>
        </w:tc>
        <w:tc>
          <w:tcPr>
            <w:tcW w:w="1134" w:type="dxa"/>
            <w:tcBorders>
              <w:top w:val="single" w:sz="12" w:space="0" w:color="000000"/>
              <w:bottom w:val="single" w:sz="4" w:space="0" w:color="auto"/>
            </w:tcBorders>
            <w:shd w:val="pct5" w:color="F2F2F2" w:fill="F2F2F2"/>
          </w:tcPr>
          <w:p w:rsidR="00E86D5C" w:rsidRPr="00E86D5C" w:rsidRDefault="00E86D5C" w:rsidP="00402F63">
            <w:pPr>
              <w:widowControl/>
              <w:spacing w:line="440" w:lineRule="exact"/>
              <w:rPr>
                <w:rFonts w:ascii="標楷體" w:eastAsia="標楷體" w:hAnsi="標楷體"/>
                <w:bCs/>
                <w:color w:val="000000"/>
                <w:szCs w:val="24"/>
              </w:rPr>
            </w:pPr>
            <w:r w:rsidRPr="00E86D5C">
              <w:rPr>
                <w:rFonts w:ascii="標楷體" w:eastAsia="標楷體" w:hAnsi="標楷體" w:hint="eastAsia"/>
                <w:bCs/>
                <w:color w:val="000000"/>
                <w:szCs w:val="24"/>
              </w:rPr>
              <w:t>資安專責人力</w:t>
            </w:r>
          </w:p>
        </w:tc>
        <w:tc>
          <w:tcPr>
            <w:tcW w:w="1275" w:type="dxa"/>
            <w:tcBorders>
              <w:top w:val="single" w:sz="12" w:space="0" w:color="000000"/>
              <w:bottom w:val="single" w:sz="4" w:space="0" w:color="auto"/>
            </w:tcBorders>
            <w:shd w:val="pct5" w:color="F2F2F2" w:fill="F2F2F2"/>
          </w:tcPr>
          <w:p w:rsidR="00E86D5C" w:rsidRPr="00E86D5C" w:rsidRDefault="00E86D5C" w:rsidP="00402F63">
            <w:pPr>
              <w:widowControl/>
              <w:spacing w:line="440" w:lineRule="exact"/>
              <w:rPr>
                <w:rFonts w:ascii="標楷體" w:eastAsia="標楷體" w:hAnsi="標楷體"/>
                <w:bCs/>
                <w:color w:val="000000"/>
                <w:szCs w:val="24"/>
              </w:rPr>
            </w:pPr>
            <w:r w:rsidRPr="00E86D5C">
              <w:rPr>
                <w:rFonts w:ascii="標楷體" w:eastAsia="標楷體" w:hAnsi="標楷體" w:hint="eastAsia"/>
                <w:bCs/>
                <w:color w:val="000000"/>
                <w:szCs w:val="24"/>
              </w:rPr>
              <w:t>稽核方式</w:t>
            </w:r>
          </w:p>
        </w:tc>
        <w:tc>
          <w:tcPr>
            <w:tcW w:w="1560" w:type="dxa"/>
            <w:tcBorders>
              <w:top w:val="single" w:sz="12" w:space="0" w:color="000000"/>
              <w:bottom w:val="single" w:sz="4" w:space="0" w:color="auto"/>
            </w:tcBorders>
            <w:shd w:val="pct5" w:color="F2F2F2" w:fill="F2F2F2"/>
          </w:tcPr>
          <w:p w:rsidR="00E86D5C" w:rsidRPr="00E86D5C" w:rsidRDefault="00E86D5C" w:rsidP="00402F63">
            <w:pPr>
              <w:widowControl/>
              <w:spacing w:line="440" w:lineRule="exact"/>
              <w:rPr>
                <w:rFonts w:ascii="標楷體" w:eastAsia="標楷體" w:hAnsi="標楷體"/>
                <w:bCs/>
                <w:color w:val="000000"/>
                <w:szCs w:val="24"/>
              </w:rPr>
            </w:pPr>
            <w:r w:rsidRPr="00E86D5C">
              <w:rPr>
                <w:rFonts w:ascii="標楷體" w:eastAsia="標楷體" w:hAnsi="標楷體" w:hint="eastAsia"/>
                <w:bCs/>
                <w:color w:val="000000"/>
                <w:szCs w:val="24"/>
              </w:rPr>
              <w:t>業務持續運作演練</w:t>
            </w:r>
          </w:p>
        </w:tc>
        <w:tc>
          <w:tcPr>
            <w:tcW w:w="1417" w:type="dxa"/>
            <w:tcBorders>
              <w:top w:val="single" w:sz="12" w:space="0" w:color="000000"/>
              <w:bottom w:val="single" w:sz="4" w:space="0" w:color="auto"/>
              <w:right w:val="single" w:sz="4" w:space="0" w:color="000000"/>
            </w:tcBorders>
            <w:shd w:val="pct5" w:color="F2F2F2" w:fill="F2F2F2"/>
          </w:tcPr>
          <w:p w:rsidR="00E86D5C" w:rsidRPr="00E86D5C" w:rsidRDefault="00E86D5C" w:rsidP="00402F63">
            <w:pPr>
              <w:widowControl/>
              <w:spacing w:line="440" w:lineRule="exact"/>
              <w:rPr>
                <w:rFonts w:ascii="標楷體" w:eastAsia="標楷體" w:hAnsi="標楷體"/>
                <w:bCs/>
                <w:color w:val="000000"/>
                <w:szCs w:val="24"/>
              </w:rPr>
            </w:pPr>
            <w:r w:rsidRPr="00E86D5C">
              <w:rPr>
                <w:rFonts w:ascii="標楷體" w:eastAsia="標楷體" w:hAnsi="標楷體" w:hint="eastAsia"/>
                <w:bCs/>
                <w:color w:val="000000"/>
                <w:szCs w:val="24"/>
              </w:rPr>
              <w:t>防護縱深</w:t>
            </w:r>
          </w:p>
        </w:tc>
        <w:tc>
          <w:tcPr>
            <w:tcW w:w="1559" w:type="dxa"/>
            <w:tcBorders>
              <w:top w:val="single" w:sz="12" w:space="0" w:color="000000"/>
              <w:left w:val="single" w:sz="4" w:space="0" w:color="000000"/>
              <w:bottom w:val="single" w:sz="4" w:space="0" w:color="auto"/>
              <w:right w:val="single" w:sz="4" w:space="0" w:color="000000"/>
            </w:tcBorders>
            <w:shd w:val="pct5" w:color="F2F2F2" w:fill="F2F2F2"/>
          </w:tcPr>
          <w:p w:rsidR="00E86D5C" w:rsidRPr="00E86D5C" w:rsidRDefault="00E86D5C" w:rsidP="00402F63">
            <w:pPr>
              <w:widowControl/>
              <w:spacing w:line="440" w:lineRule="exact"/>
              <w:rPr>
                <w:rFonts w:ascii="標楷體" w:eastAsia="標楷體" w:hAnsi="標楷體"/>
                <w:bCs/>
                <w:color w:val="000000"/>
                <w:szCs w:val="24"/>
              </w:rPr>
            </w:pPr>
            <w:r w:rsidRPr="00E86D5C">
              <w:rPr>
                <w:rFonts w:ascii="標楷體" w:eastAsia="標楷體" w:hAnsi="標楷體" w:hint="eastAsia"/>
                <w:bCs/>
                <w:color w:val="000000"/>
                <w:szCs w:val="24"/>
              </w:rPr>
              <w:t>監控管理</w:t>
            </w:r>
          </w:p>
        </w:tc>
        <w:tc>
          <w:tcPr>
            <w:tcW w:w="1418" w:type="dxa"/>
            <w:tcBorders>
              <w:top w:val="single" w:sz="12" w:space="0" w:color="000000"/>
              <w:left w:val="single" w:sz="4" w:space="0" w:color="000000"/>
              <w:bottom w:val="single" w:sz="4" w:space="0" w:color="auto"/>
              <w:right w:val="single" w:sz="4" w:space="0" w:color="000000"/>
            </w:tcBorders>
            <w:shd w:val="pct5" w:color="F2F2F2" w:fill="F2F2F2"/>
          </w:tcPr>
          <w:p w:rsidR="00E86D5C" w:rsidRPr="00E86D5C" w:rsidRDefault="00E86D5C" w:rsidP="00402F63">
            <w:pPr>
              <w:widowControl/>
              <w:spacing w:line="440" w:lineRule="exact"/>
              <w:rPr>
                <w:rFonts w:ascii="標楷體" w:eastAsia="標楷體" w:hAnsi="標楷體"/>
                <w:bCs/>
                <w:color w:val="000000"/>
                <w:szCs w:val="24"/>
              </w:rPr>
            </w:pPr>
            <w:r w:rsidRPr="00E86D5C">
              <w:rPr>
                <w:rFonts w:ascii="標楷體" w:eastAsia="標楷體" w:hAnsi="標楷體" w:hint="eastAsia"/>
                <w:bCs/>
                <w:color w:val="000000"/>
                <w:szCs w:val="24"/>
              </w:rPr>
              <w:t>安全性檢測</w:t>
            </w:r>
          </w:p>
        </w:tc>
        <w:tc>
          <w:tcPr>
            <w:tcW w:w="3118" w:type="dxa"/>
            <w:tcBorders>
              <w:top w:val="single" w:sz="12" w:space="0" w:color="000000"/>
              <w:left w:val="single" w:sz="4" w:space="0" w:color="000000"/>
              <w:bottom w:val="single" w:sz="4" w:space="0" w:color="auto"/>
              <w:right w:val="single" w:sz="4" w:space="0" w:color="000000"/>
            </w:tcBorders>
            <w:shd w:val="pct5" w:color="F2F2F2" w:fill="F2F2F2"/>
          </w:tcPr>
          <w:p w:rsidR="00E86D5C" w:rsidRPr="00E86D5C" w:rsidRDefault="00E86D5C" w:rsidP="00402F63">
            <w:pPr>
              <w:widowControl/>
              <w:spacing w:line="360" w:lineRule="exact"/>
              <w:rPr>
                <w:rFonts w:ascii="標楷體" w:eastAsia="標楷體" w:hAnsi="標楷體" w:cs="新細明體"/>
                <w:b/>
                <w:bCs/>
                <w:color w:val="000000"/>
                <w:szCs w:val="24"/>
              </w:rPr>
            </w:pPr>
            <w:r w:rsidRPr="00E86D5C">
              <w:rPr>
                <w:rFonts w:ascii="標楷體" w:eastAsia="標楷體" w:hAnsi="標楷體" w:hint="eastAsia"/>
                <w:bCs/>
                <w:color w:val="000000"/>
                <w:szCs w:val="24"/>
              </w:rPr>
              <w:t xml:space="preserve">資安教育訓練(一般主管、資訊人員/資安人員、一般使用者 </w:t>
            </w:r>
          </w:p>
        </w:tc>
        <w:tc>
          <w:tcPr>
            <w:tcW w:w="1276" w:type="dxa"/>
            <w:tcBorders>
              <w:top w:val="single" w:sz="12" w:space="0" w:color="000000"/>
              <w:left w:val="single" w:sz="4" w:space="0" w:color="000000"/>
              <w:bottom w:val="single" w:sz="4" w:space="0" w:color="auto"/>
              <w:right w:val="single" w:sz="12" w:space="0" w:color="auto"/>
            </w:tcBorders>
            <w:shd w:val="pct5" w:color="F2F2F2" w:fill="F2F2F2"/>
          </w:tcPr>
          <w:p w:rsidR="00E86D5C" w:rsidRPr="00E86D5C" w:rsidRDefault="00E86D5C" w:rsidP="00402F63">
            <w:pPr>
              <w:widowControl/>
              <w:spacing w:line="440" w:lineRule="exact"/>
              <w:rPr>
                <w:rFonts w:ascii="標楷體" w:eastAsia="標楷體" w:hAnsi="標楷體"/>
                <w:bCs/>
                <w:color w:val="000000"/>
                <w:szCs w:val="24"/>
              </w:rPr>
            </w:pPr>
            <w:r w:rsidRPr="00E86D5C">
              <w:rPr>
                <w:rFonts w:ascii="標楷體" w:eastAsia="標楷體" w:hAnsi="標楷體" w:hint="eastAsia"/>
                <w:bCs/>
                <w:color w:val="000000"/>
                <w:szCs w:val="24"/>
              </w:rPr>
              <w:t>專業證照</w:t>
            </w:r>
          </w:p>
        </w:tc>
      </w:tr>
      <w:tr w:rsidR="00A967B5" w:rsidRPr="009C70DD" w:rsidTr="00A967B5">
        <w:trPr>
          <w:trHeight w:val="1034"/>
        </w:trPr>
        <w:tc>
          <w:tcPr>
            <w:tcW w:w="1526" w:type="dxa"/>
            <w:tcBorders>
              <w:top w:val="single" w:sz="4" w:space="0" w:color="000000"/>
              <w:bottom w:val="single" w:sz="12" w:space="0" w:color="000000"/>
            </w:tcBorders>
          </w:tcPr>
          <w:p w:rsidR="00E86D5C" w:rsidRPr="00E86D5C" w:rsidRDefault="00E86D5C" w:rsidP="00402F63">
            <w:pPr>
              <w:widowControl/>
              <w:spacing w:line="320" w:lineRule="exact"/>
              <w:rPr>
                <w:rFonts w:ascii="標楷體" w:eastAsia="標楷體" w:hAnsi="標楷體"/>
                <w:bCs/>
                <w:color w:val="000000"/>
                <w:szCs w:val="24"/>
                <w:highlight w:val="yellow"/>
              </w:rPr>
            </w:pPr>
            <w:r w:rsidRPr="00E86D5C">
              <w:rPr>
                <w:rFonts w:ascii="標楷體" w:eastAsia="標楷體" w:hAnsi="標楷體" w:hint="eastAsia"/>
                <w:bCs/>
                <w:color w:val="000000"/>
                <w:szCs w:val="24"/>
              </w:rPr>
              <w:t>核心業務如有建置資訊系統，可參考行政院國家資通安全會報頒訂之資訊系統分類分級與鑑別機制參考手冊，視資源能力，建置必要之防護基準。</w:t>
            </w:r>
          </w:p>
        </w:tc>
        <w:tc>
          <w:tcPr>
            <w:tcW w:w="1276" w:type="dxa"/>
            <w:tcBorders>
              <w:top w:val="single" w:sz="4" w:space="0" w:color="000000"/>
              <w:bottom w:val="single" w:sz="12" w:space="0" w:color="000000"/>
            </w:tcBorders>
          </w:tcPr>
          <w:p w:rsidR="00E86D5C" w:rsidRPr="00E86D5C" w:rsidRDefault="00E86D5C" w:rsidP="00402F63">
            <w:pPr>
              <w:widowControl/>
              <w:spacing w:line="320" w:lineRule="exact"/>
              <w:rPr>
                <w:rFonts w:ascii="標楷體" w:eastAsia="標楷體" w:hAnsi="標楷體"/>
                <w:bCs/>
                <w:color w:val="000000"/>
                <w:szCs w:val="24"/>
                <w:highlight w:val="yellow"/>
              </w:rPr>
            </w:pPr>
            <w:r w:rsidRPr="00E86D5C">
              <w:rPr>
                <w:rFonts w:ascii="標楷體" w:eastAsia="標楷體" w:hAnsi="標楷體" w:hint="eastAsia"/>
                <w:color w:val="000000"/>
                <w:szCs w:val="24"/>
              </w:rPr>
              <w:t>對核心業務之應用資訊系統進行資訊資產清查，檢視可能之風險，並視資源能力實施適當之管控作為。</w:t>
            </w:r>
          </w:p>
        </w:tc>
        <w:tc>
          <w:tcPr>
            <w:tcW w:w="1134" w:type="dxa"/>
            <w:tcBorders>
              <w:top w:val="single" w:sz="4" w:space="0" w:color="000000"/>
              <w:bottom w:val="single" w:sz="12" w:space="0" w:color="000000"/>
            </w:tcBorders>
          </w:tcPr>
          <w:p w:rsidR="00E86D5C" w:rsidRPr="00E86D5C" w:rsidRDefault="00E86D5C" w:rsidP="00402F63">
            <w:pPr>
              <w:widowControl/>
              <w:spacing w:line="320" w:lineRule="exact"/>
              <w:rPr>
                <w:rFonts w:ascii="標楷體" w:eastAsia="標楷體" w:hAnsi="標楷體"/>
                <w:bCs/>
                <w:color w:val="000000"/>
                <w:szCs w:val="24"/>
                <w:highlight w:val="yellow"/>
              </w:rPr>
            </w:pPr>
            <w:r w:rsidRPr="00E86D5C">
              <w:rPr>
                <w:rFonts w:ascii="標楷體" w:eastAsia="標楷體" w:hAnsi="標楷體" w:hint="eastAsia"/>
                <w:bCs/>
                <w:color w:val="000000"/>
                <w:szCs w:val="24"/>
              </w:rPr>
              <w:t>應指派一員兼任人員，執行資訊安全管理相關業務</w:t>
            </w:r>
          </w:p>
        </w:tc>
        <w:tc>
          <w:tcPr>
            <w:tcW w:w="1275" w:type="dxa"/>
            <w:tcBorders>
              <w:top w:val="single" w:sz="4" w:space="0" w:color="000000"/>
              <w:bottom w:val="single" w:sz="12" w:space="0" w:color="000000"/>
            </w:tcBorders>
          </w:tcPr>
          <w:p w:rsidR="00E86D5C" w:rsidRPr="00E86D5C" w:rsidRDefault="00E86D5C" w:rsidP="00402F63">
            <w:pPr>
              <w:widowControl/>
              <w:spacing w:line="320" w:lineRule="exact"/>
              <w:rPr>
                <w:rFonts w:ascii="標楷體" w:eastAsia="標楷體" w:hAnsi="標楷體"/>
                <w:bCs/>
                <w:color w:val="000000"/>
                <w:szCs w:val="24"/>
                <w:highlight w:val="yellow"/>
              </w:rPr>
            </w:pPr>
            <w:bookmarkStart w:id="0" w:name="_GoBack"/>
            <w:r w:rsidRPr="007C4BBF">
              <w:rPr>
                <w:rFonts w:ascii="標楷體" w:eastAsia="標楷體" w:hAnsi="標楷體" w:hint="eastAsia"/>
                <w:bCs/>
                <w:color w:val="FF0000"/>
                <w:szCs w:val="24"/>
              </w:rPr>
              <w:t>結合機關內部管理機制，每年辦理一次資訊安全自我檢查作業。</w:t>
            </w:r>
            <w:bookmarkEnd w:id="0"/>
          </w:p>
        </w:tc>
        <w:tc>
          <w:tcPr>
            <w:tcW w:w="1560" w:type="dxa"/>
            <w:tcBorders>
              <w:top w:val="single" w:sz="4" w:space="0" w:color="000000"/>
              <w:bottom w:val="single" w:sz="12" w:space="0" w:color="000000"/>
            </w:tcBorders>
          </w:tcPr>
          <w:p w:rsidR="00E86D5C" w:rsidRPr="00E86D5C" w:rsidRDefault="00E86D5C" w:rsidP="00402F63">
            <w:pPr>
              <w:widowControl/>
              <w:spacing w:line="320" w:lineRule="exact"/>
              <w:rPr>
                <w:rFonts w:ascii="標楷體" w:eastAsia="標楷體" w:hAnsi="標楷體"/>
                <w:bCs/>
                <w:color w:val="000000"/>
                <w:szCs w:val="24"/>
                <w:highlight w:val="yellow"/>
              </w:rPr>
            </w:pPr>
            <w:r w:rsidRPr="00E86D5C">
              <w:rPr>
                <w:rFonts w:ascii="標楷體" w:eastAsia="標楷體" w:hAnsi="標楷體" w:hint="eastAsia"/>
                <w:bCs/>
                <w:color w:val="000000"/>
                <w:szCs w:val="24"/>
              </w:rPr>
              <w:t>對核心業務應用資訊系統依實務需要訂定業務持續運作計畫，並每年至少一次定期檢視計畫適用性。</w:t>
            </w:r>
          </w:p>
        </w:tc>
        <w:tc>
          <w:tcPr>
            <w:tcW w:w="1417" w:type="dxa"/>
            <w:tcBorders>
              <w:top w:val="single" w:sz="4" w:space="0" w:color="000000"/>
              <w:bottom w:val="single" w:sz="12" w:space="0" w:color="000000"/>
              <w:right w:val="single" w:sz="4" w:space="0" w:color="000000"/>
            </w:tcBorders>
          </w:tcPr>
          <w:p w:rsidR="00E86D5C" w:rsidRPr="00E86D5C" w:rsidRDefault="00E86D5C" w:rsidP="00A967B5">
            <w:pPr>
              <w:widowControl/>
              <w:spacing w:line="320" w:lineRule="exact"/>
              <w:ind w:left="31" w:hangingChars="13" w:hanging="31"/>
              <w:rPr>
                <w:rFonts w:ascii="標楷體" w:eastAsia="標楷體" w:hAnsi="標楷體"/>
                <w:bCs/>
                <w:color w:val="000000"/>
                <w:szCs w:val="24"/>
              </w:rPr>
            </w:pPr>
            <w:r w:rsidRPr="00E86D5C">
              <w:rPr>
                <w:rFonts w:ascii="標楷體" w:eastAsia="標楷體" w:hAnsi="標楷體" w:hint="eastAsia"/>
                <w:bCs/>
                <w:color w:val="000000"/>
                <w:szCs w:val="24"/>
              </w:rPr>
              <w:t>由各直轄巿及縣(巿)教育網路中心於網路收容節點，設置防毒及防火牆設備，集中實施資安防護。</w:t>
            </w:r>
          </w:p>
        </w:tc>
        <w:tc>
          <w:tcPr>
            <w:tcW w:w="1559" w:type="dxa"/>
            <w:tcBorders>
              <w:top w:val="single" w:sz="4" w:space="0" w:color="000000"/>
              <w:left w:val="single" w:sz="4" w:space="0" w:color="000000"/>
              <w:bottom w:val="single" w:sz="12" w:space="0" w:color="000000"/>
              <w:right w:val="single" w:sz="4" w:space="0" w:color="000000"/>
            </w:tcBorders>
          </w:tcPr>
          <w:p w:rsidR="00E86D5C" w:rsidRPr="00E86D5C" w:rsidRDefault="00E86D5C" w:rsidP="00402F63">
            <w:pPr>
              <w:widowControl/>
              <w:spacing w:line="320" w:lineRule="exact"/>
              <w:rPr>
                <w:rFonts w:ascii="標楷體" w:eastAsia="標楷體" w:hAnsi="標楷體"/>
                <w:bCs/>
                <w:color w:val="000000"/>
                <w:szCs w:val="24"/>
                <w:highlight w:val="yellow"/>
              </w:rPr>
            </w:pPr>
            <w:r w:rsidRPr="00E86D5C">
              <w:rPr>
                <w:rFonts w:ascii="標楷體" w:eastAsia="標楷體" w:hAnsi="標楷體" w:hint="eastAsia"/>
                <w:bCs/>
                <w:color w:val="000000"/>
                <w:szCs w:val="24"/>
              </w:rPr>
              <w:t>結合臺灣學術網路資安監控系統(北區SOC、南區SOC、Mini-SOC、TACERT)或本部資安監控系統機制，進行資安預警情資、事件通報及應變處置。</w:t>
            </w:r>
          </w:p>
        </w:tc>
        <w:tc>
          <w:tcPr>
            <w:tcW w:w="1418" w:type="dxa"/>
            <w:tcBorders>
              <w:top w:val="single" w:sz="4" w:space="0" w:color="000000"/>
              <w:left w:val="single" w:sz="4" w:space="0" w:color="000000"/>
              <w:bottom w:val="single" w:sz="12" w:space="0" w:color="000000"/>
              <w:right w:val="single" w:sz="4" w:space="0" w:color="000000"/>
            </w:tcBorders>
          </w:tcPr>
          <w:p w:rsidR="00E86D5C" w:rsidRPr="00E86D5C" w:rsidRDefault="00E86D5C" w:rsidP="00402F63">
            <w:pPr>
              <w:widowControl/>
              <w:spacing w:line="320" w:lineRule="exact"/>
              <w:rPr>
                <w:rFonts w:ascii="標楷體" w:eastAsia="標楷體" w:hAnsi="標楷體"/>
                <w:bCs/>
                <w:color w:val="000000"/>
                <w:szCs w:val="24"/>
                <w:highlight w:val="yellow"/>
              </w:rPr>
            </w:pPr>
            <w:r w:rsidRPr="00E86D5C">
              <w:rPr>
                <w:rFonts w:ascii="標楷體" w:eastAsia="標楷體" w:hAnsi="標楷體" w:hint="eastAsia"/>
                <w:bCs/>
                <w:color w:val="000000"/>
                <w:szCs w:val="24"/>
              </w:rPr>
              <w:t>核心業務如有運用資訊系統(或網站)，於系統建置或更新時，或每年至少辦理一次資安弱點檢測作業，並對弱點進行修復作業。</w:t>
            </w:r>
          </w:p>
        </w:tc>
        <w:tc>
          <w:tcPr>
            <w:tcW w:w="3118" w:type="dxa"/>
            <w:tcBorders>
              <w:top w:val="single" w:sz="4" w:space="0" w:color="000000"/>
              <w:left w:val="single" w:sz="4" w:space="0" w:color="000000"/>
              <w:bottom w:val="single" w:sz="12" w:space="0" w:color="000000"/>
              <w:right w:val="single" w:sz="4" w:space="0" w:color="000000"/>
            </w:tcBorders>
          </w:tcPr>
          <w:p w:rsidR="00E86D5C" w:rsidRPr="00E86D5C" w:rsidRDefault="00A967B5" w:rsidP="00E86D5C">
            <w:pPr>
              <w:widowControl/>
              <w:spacing w:line="320" w:lineRule="exact"/>
              <w:ind w:leftChars="-36" w:left="142" w:hangingChars="95" w:hanging="228"/>
              <w:rPr>
                <w:rFonts w:ascii="標楷體" w:eastAsia="標楷體" w:hAnsi="標楷體"/>
                <w:bCs/>
                <w:color w:val="000000"/>
                <w:szCs w:val="24"/>
              </w:rPr>
            </w:pPr>
            <w:r w:rsidRPr="00E86D5C">
              <w:rPr>
                <w:rFonts w:ascii="標楷體" w:eastAsia="標楷體" w:hAnsi="標楷體" w:hint="eastAsia"/>
                <w:bCs/>
                <w:color w:val="000000"/>
                <w:szCs w:val="24"/>
              </w:rPr>
              <w:t>(</w:t>
            </w:r>
            <w:r>
              <w:rPr>
                <w:rFonts w:ascii="標楷體" w:eastAsia="標楷體" w:hAnsi="標楷體" w:hint="eastAsia"/>
                <w:bCs/>
                <w:color w:val="000000"/>
                <w:szCs w:val="24"/>
              </w:rPr>
              <w:t>1</w:t>
            </w:r>
            <w:r w:rsidRPr="00E86D5C">
              <w:rPr>
                <w:rFonts w:ascii="標楷體" w:eastAsia="標楷體" w:hAnsi="標楷體" w:hint="eastAsia"/>
                <w:bCs/>
                <w:color w:val="000000"/>
                <w:szCs w:val="24"/>
              </w:rPr>
              <w:t>)</w:t>
            </w:r>
            <w:r w:rsidR="00E86D5C" w:rsidRPr="00E86D5C">
              <w:rPr>
                <w:rFonts w:ascii="標楷體" w:eastAsia="標楷體" w:hAnsi="標楷體" w:hint="eastAsia"/>
                <w:bCs/>
                <w:color w:val="000000"/>
                <w:szCs w:val="24"/>
              </w:rPr>
              <w:t>擔任資安業務人員應接受六小時資安專業課程訓練(包括行政院、教育部、各級教學機構、各區網中心及各直轄巿及縣(巿)教育網路中心等辦理之資安課程、訓練、講習等)，並獲得研習證明，以增進資安專業知識與能力。</w:t>
            </w:r>
          </w:p>
          <w:p w:rsidR="00E86D5C" w:rsidRPr="00E86D5C" w:rsidRDefault="00E86D5C" w:rsidP="00E86D5C">
            <w:pPr>
              <w:widowControl/>
              <w:spacing w:line="320" w:lineRule="exact"/>
              <w:ind w:leftChars="-36" w:left="142" w:hangingChars="95" w:hanging="228"/>
              <w:rPr>
                <w:rFonts w:ascii="標楷體" w:eastAsia="標楷體" w:hAnsi="標楷體"/>
                <w:bCs/>
                <w:color w:val="000000"/>
                <w:szCs w:val="24"/>
                <w:highlight w:val="yellow"/>
              </w:rPr>
            </w:pPr>
            <w:r w:rsidRPr="00E86D5C">
              <w:rPr>
                <w:rFonts w:ascii="標楷體" w:eastAsia="標楷體" w:hAnsi="標楷體" w:hint="eastAsia"/>
                <w:bCs/>
                <w:color w:val="000000"/>
                <w:szCs w:val="24"/>
              </w:rPr>
              <w:t>(2)一般使用者及主管至少應接受三小時資安宣導課程(包括機關自辦資安宣導講習、上級機關辦理之資安宣導課程)，以提升資安防護認知。</w:t>
            </w:r>
          </w:p>
        </w:tc>
        <w:tc>
          <w:tcPr>
            <w:tcW w:w="1276" w:type="dxa"/>
            <w:tcBorders>
              <w:top w:val="single" w:sz="4" w:space="0" w:color="000000"/>
              <w:left w:val="single" w:sz="4" w:space="0" w:color="000000"/>
              <w:bottom w:val="single" w:sz="12" w:space="0" w:color="000000"/>
              <w:right w:val="single" w:sz="12" w:space="0" w:color="000000"/>
            </w:tcBorders>
          </w:tcPr>
          <w:p w:rsidR="00E86D5C" w:rsidRPr="00E86D5C" w:rsidRDefault="00E86D5C" w:rsidP="00402F63">
            <w:pPr>
              <w:widowControl/>
              <w:spacing w:line="320" w:lineRule="exact"/>
              <w:rPr>
                <w:rFonts w:ascii="標楷體" w:eastAsia="標楷體" w:hAnsi="標楷體"/>
                <w:bCs/>
                <w:color w:val="000000"/>
                <w:szCs w:val="24"/>
                <w:highlight w:val="yellow"/>
              </w:rPr>
            </w:pPr>
            <w:r w:rsidRPr="00E86D5C">
              <w:rPr>
                <w:rFonts w:ascii="標楷體" w:eastAsia="標楷體" w:hAnsi="標楷體" w:hint="eastAsia"/>
                <w:bCs/>
                <w:color w:val="000000"/>
                <w:szCs w:val="24"/>
              </w:rPr>
              <w:t>擔任資安業務人員每年至少參加一項資安專業訓練，並取得上課證明。</w:t>
            </w:r>
          </w:p>
        </w:tc>
      </w:tr>
    </w:tbl>
    <w:p w:rsidR="00E86D5C" w:rsidRPr="00E86D5C" w:rsidRDefault="00E86D5C"/>
    <w:sectPr w:rsidR="00E86D5C" w:rsidRPr="00E86D5C" w:rsidSect="00E86D5C">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2E9" w:rsidRDefault="001332E9" w:rsidP="00607F1B">
      <w:r>
        <w:separator/>
      </w:r>
    </w:p>
  </w:endnote>
  <w:endnote w:type="continuationSeparator" w:id="0">
    <w:p w:rsidR="001332E9" w:rsidRDefault="001332E9" w:rsidP="00607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2E9" w:rsidRDefault="001332E9" w:rsidP="00607F1B">
      <w:r>
        <w:separator/>
      </w:r>
    </w:p>
  </w:footnote>
  <w:footnote w:type="continuationSeparator" w:id="0">
    <w:p w:rsidR="001332E9" w:rsidRDefault="001332E9" w:rsidP="00607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7F0AAA"/>
    <w:multiLevelType w:val="hybridMultilevel"/>
    <w:tmpl w:val="95127CC0"/>
    <w:lvl w:ilvl="0" w:tplc="DCC64420">
      <w:start w:val="1"/>
      <w:numFmt w:val="ideographLegalTraditional"/>
      <w:lvlText w:val="%1、"/>
      <w:lvlJc w:val="left"/>
      <w:pPr>
        <w:tabs>
          <w:tab w:val="num" w:pos="3839"/>
        </w:tabs>
        <w:ind w:left="3839" w:hanging="720"/>
      </w:pPr>
      <w:rPr>
        <w:rFonts w:hint="eastAsia"/>
      </w:rPr>
    </w:lvl>
    <w:lvl w:ilvl="1" w:tplc="D82A7B5E">
      <w:start w:val="1"/>
      <w:numFmt w:val="taiwaneseCountingThousand"/>
      <w:lvlText w:val="%2、"/>
      <w:lvlJc w:val="left"/>
      <w:pPr>
        <w:tabs>
          <w:tab w:val="num" w:pos="624"/>
        </w:tabs>
        <w:ind w:left="624" w:hanging="624"/>
      </w:pPr>
      <w:rPr>
        <w:rFonts w:hint="eastAsia"/>
      </w:rPr>
    </w:lvl>
    <w:lvl w:ilvl="2" w:tplc="15D4AEEA">
      <w:start w:val="1"/>
      <w:numFmt w:val="taiwaneseCountingThousand"/>
      <w:lvlText w:val="(%3)"/>
      <w:lvlJc w:val="left"/>
      <w:pPr>
        <w:tabs>
          <w:tab w:val="num" w:pos="1418"/>
        </w:tabs>
        <w:ind w:left="1418" w:hanging="738"/>
      </w:pPr>
      <w:rPr>
        <w:rFonts w:hint="eastAsia"/>
      </w:rPr>
    </w:lvl>
    <w:lvl w:ilvl="3" w:tplc="0409000F">
      <w:start w:val="1"/>
      <w:numFmt w:val="decimal"/>
      <w:lvlText w:val="%4."/>
      <w:lvlJc w:val="left"/>
      <w:pPr>
        <w:tabs>
          <w:tab w:val="num" w:pos="1920"/>
        </w:tabs>
        <w:ind w:left="1920" w:hanging="480"/>
      </w:pPr>
    </w:lvl>
    <w:lvl w:ilvl="4" w:tplc="515A6EE8">
      <w:start w:val="1"/>
      <w:numFmt w:val="decimal"/>
      <w:lvlText w:val="(%5)"/>
      <w:lvlJc w:val="left"/>
      <w:pPr>
        <w:tabs>
          <w:tab w:val="num" w:pos="2400"/>
        </w:tabs>
        <w:ind w:left="2400" w:hanging="480"/>
      </w:pPr>
      <w:rPr>
        <w:rFonts w:ascii="Times New Roman" w:eastAsia="標楷體" w:hAnsi="Times New Roman"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D5C"/>
    <w:rsid w:val="001332E9"/>
    <w:rsid w:val="00274839"/>
    <w:rsid w:val="00470583"/>
    <w:rsid w:val="004B4703"/>
    <w:rsid w:val="0059727D"/>
    <w:rsid w:val="00607F1B"/>
    <w:rsid w:val="007C4BBF"/>
    <w:rsid w:val="00802C3A"/>
    <w:rsid w:val="008434F3"/>
    <w:rsid w:val="009777D1"/>
    <w:rsid w:val="00A71DE9"/>
    <w:rsid w:val="00A967B5"/>
    <w:rsid w:val="00B05EC6"/>
    <w:rsid w:val="00B972C0"/>
    <w:rsid w:val="00BA4533"/>
    <w:rsid w:val="00DA3B7F"/>
    <w:rsid w:val="00DC6A22"/>
    <w:rsid w:val="00E86D5C"/>
    <w:rsid w:val="00F239E9"/>
    <w:rsid w:val="00F844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CCEC75-B425-409A-81E5-615AE0D4A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6D5C"/>
    <w:pPr>
      <w:ind w:leftChars="200" w:left="480"/>
    </w:pPr>
    <w:rPr>
      <w:rFonts w:ascii="Times New Roman" w:eastAsia="新細明體" w:hAnsi="Times New Roman" w:cs="Times New Roman"/>
      <w:szCs w:val="24"/>
    </w:rPr>
  </w:style>
  <w:style w:type="paragraph" w:styleId="a4">
    <w:name w:val="header"/>
    <w:basedOn w:val="a"/>
    <w:link w:val="a5"/>
    <w:uiPriority w:val="99"/>
    <w:unhideWhenUsed/>
    <w:rsid w:val="00607F1B"/>
    <w:pPr>
      <w:tabs>
        <w:tab w:val="center" w:pos="4153"/>
        <w:tab w:val="right" w:pos="8306"/>
      </w:tabs>
      <w:snapToGrid w:val="0"/>
    </w:pPr>
    <w:rPr>
      <w:sz w:val="20"/>
      <w:szCs w:val="20"/>
    </w:rPr>
  </w:style>
  <w:style w:type="character" w:customStyle="1" w:styleId="a5">
    <w:name w:val="頁首 字元"/>
    <w:basedOn w:val="a0"/>
    <w:link w:val="a4"/>
    <w:uiPriority w:val="99"/>
    <w:rsid w:val="00607F1B"/>
    <w:rPr>
      <w:sz w:val="20"/>
      <w:szCs w:val="20"/>
    </w:rPr>
  </w:style>
  <w:style w:type="paragraph" w:styleId="a6">
    <w:name w:val="footer"/>
    <w:basedOn w:val="a"/>
    <w:link w:val="a7"/>
    <w:uiPriority w:val="99"/>
    <w:unhideWhenUsed/>
    <w:rsid w:val="00607F1B"/>
    <w:pPr>
      <w:tabs>
        <w:tab w:val="center" w:pos="4153"/>
        <w:tab w:val="right" w:pos="8306"/>
      </w:tabs>
      <w:snapToGrid w:val="0"/>
    </w:pPr>
    <w:rPr>
      <w:sz w:val="20"/>
      <w:szCs w:val="20"/>
    </w:rPr>
  </w:style>
  <w:style w:type="character" w:customStyle="1" w:styleId="a7">
    <w:name w:val="頁尾 字元"/>
    <w:basedOn w:val="a0"/>
    <w:link w:val="a6"/>
    <w:uiPriority w:val="99"/>
    <w:rsid w:val="00607F1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erdc-NB</dc:creator>
  <cp:lastModifiedBy>aa9291gg</cp:lastModifiedBy>
  <cp:revision>5</cp:revision>
  <dcterms:created xsi:type="dcterms:W3CDTF">2015-08-16T07:44:00Z</dcterms:created>
  <dcterms:modified xsi:type="dcterms:W3CDTF">2016-03-01T07:53:00Z</dcterms:modified>
</cp:coreProperties>
</file>